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9218" w14:textId="2E611A14" w:rsidR="00F40114" w:rsidRPr="00F40114" w:rsidRDefault="00F40114">
      <w:pPr>
        <w:rPr>
          <w:b/>
          <w:bCs/>
          <w:sz w:val="36"/>
          <w:szCs w:val="36"/>
        </w:rPr>
      </w:pPr>
      <w:r w:rsidRPr="00F40114">
        <w:rPr>
          <w:b/>
          <w:bCs/>
          <w:sz w:val="36"/>
          <w:szCs w:val="36"/>
        </w:rPr>
        <w:t xml:space="preserve">CampusGuard </w:t>
      </w:r>
      <w:r w:rsidR="00080A66">
        <w:rPr>
          <w:b/>
          <w:bCs/>
          <w:sz w:val="36"/>
          <w:szCs w:val="36"/>
        </w:rPr>
        <w:t>Launches</w:t>
      </w:r>
      <w:r w:rsidRPr="00F40114">
        <w:rPr>
          <w:b/>
          <w:bCs/>
          <w:sz w:val="36"/>
          <w:szCs w:val="36"/>
        </w:rPr>
        <w:t xml:space="preserve"> CampusGuard Central 2.0</w:t>
      </w:r>
    </w:p>
    <w:p w14:paraId="5E7C0D60" w14:textId="77777777" w:rsidR="00F40114" w:rsidRDefault="00F40114"/>
    <w:p w14:paraId="5CE8F880" w14:textId="008B66F7" w:rsidR="00041598" w:rsidRDefault="00F40114">
      <w:pPr>
        <w:rPr>
          <w:rFonts w:cstheme="minorHAnsi"/>
          <w:color w:val="000000" w:themeColor="text1"/>
          <w:shd w:val="clear" w:color="auto" w:fill="FFFFFF"/>
        </w:rPr>
      </w:pPr>
      <w:r>
        <w:t xml:space="preserve">LINCOLN, </w:t>
      </w:r>
      <w:r w:rsidRPr="00F40114">
        <w:rPr>
          <w:rFonts w:cstheme="minorHAnsi"/>
          <w:color w:val="000000" w:themeColor="text1"/>
        </w:rPr>
        <w:t>NEBRASKA—</w:t>
      </w:r>
      <w:r w:rsidRPr="00F40114">
        <w:rPr>
          <w:rFonts w:cstheme="minorHAnsi"/>
          <w:color w:val="000000" w:themeColor="text1"/>
          <w:shd w:val="clear" w:color="auto" w:fill="FFFFFF"/>
        </w:rPr>
        <w:t xml:space="preserve">CampusGuard, a full-service cybersecurity and compliance services firm, </w:t>
      </w:r>
      <w:r>
        <w:rPr>
          <w:rFonts w:cstheme="minorHAnsi"/>
          <w:color w:val="000000" w:themeColor="text1"/>
          <w:shd w:val="clear" w:color="auto" w:fill="FFFFFF"/>
        </w:rPr>
        <w:t>has launched CampusGuard Central</w:t>
      </w:r>
      <w:r w:rsidRPr="00F40114">
        <w:rPr>
          <w:rFonts w:cstheme="minorHAnsi"/>
          <w:color w:val="202124"/>
          <w:sz w:val="22"/>
          <w:szCs w:val="22"/>
          <w:shd w:val="clear" w:color="auto" w:fill="FFFFFF"/>
          <w:vertAlign w:val="superscript"/>
        </w:rPr>
        <w:t>®</w:t>
      </w:r>
      <w:r>
        <w:rPr>
          <w:rFonts w:cstheme="minorHAnsi"/>
          <w:color w:val="000000" w:themeColor="text1"/>
          <w:shd w:val="clear" w:color="auto" w:fill="FFFFFF"/>
        </w:rPr>
        <w:t xml:space="preserve"> 2.0, a new release of its dynamic customer compliance portal. </w:t>
      </w:r>
      <w:r w:rsidR="0077005A">
        <w:rPr>
          <w:rFonts w:cstheme="minorHAnsi"/>
          <w:color w:val="000000" w:themeColor="text1"/>
          <w:shd w:val="clear" w:color="auto" w:fill="FFFFFF"/>
        </w:rPr>
        <w:t>CampusGuard Central enables organizations to manage their PCI DSS compliance status across their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77005A">
        <w:rPr>
          <w:rFonts w:cstheme="minorHAnsi"/>
          <w:color w:val="000000" w:themeColor="text1"/>
          <w:shd w:val="clear" w:color="auto" w:fill="FFFFFF"/>
        </w:rPr>
        <w:t>entire enterprise with one easy-to-use tool.</w:t>
      </w:r>
    </w:p>
    <w:p w14:paraId="0BEC682E" w14:textId="77777777" w:rsidR="00F40114" w:rsidRDefault="00F40114">
      <w:pPr>
        <w:rPr>
          <w:rFonts w:cstheme="minorHAnsi"/>
          <w:color w:val="000000" w:themeColor="text1"/>
          <w:shd w:val="clear" w:color="auto" w:fill="FFFFFF"/>
        </w:rPr>
      </w:pPr>
    </w:p>
    <w:p w14:paraId="234BFC1D" w14:textId="77777777" w:rsidR="00791F13" w:rsidRPr="00791F13" w:rsidRDefault="00791F13" w:rsidP="00791F13">
      <w:pPr>
        <w:rPr>
          <w:rFonts w:cstheme="minorHAnsi"/>
          <w:color w:val="000000" w:themeColor="text1"/>
        </w:rPr>
      </w:pPr>
      <w:r w:rsidRPr="00791F13">
        <w:rPr>
          <w:rFonts w:cstheme="minorHAnsi"/>
          <w:color w:val="000000" w:themeColor="text1"/>
        </w:rPr>
        <w:t>CampusGuard Central 2.0 includes the following enhancements:</w:t>
      </w:r>
    </w:p>
    <w:p w14:paraId="3513B323" w14:textId="77777777" w:rsidR="00791F13" w:rsidRPr="00791F13" w:rsidRDefault="00791F13" w:rsidP="00791F13">
      <w:pPr>
        <w:rPr>
          <w:rFonts w:cstheme="minorHAnsi"/>
          <w:color w:val="000000" w:themeColor="text1"/>
        </w:rPr>
      </w:pPr>
    </w:p>
    <w:p w14:paraId="26CCC3D8" w14:textId="77777777" w:rsidR="00080A66" w:rsidRPr="00791F13" w:rsidRDefault="00080A66" w:rsidP="00080A6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791F13">
        <w:rPr>
          <w:rFonts w:cstheme="minorHAnsi"/>
          <w:color w:val="000000" w:themeColor="text1"/>
        </w:rPr>
        <w:t>Simultaneous support for both versions of the PCI DSS within your deployment</w:t>
      </w:r>
    </w:p>
    <w:p w14:paraId="4FCC0DF2" w14:textId="77777777" w:rsidR="00791F13" w:rsidRPr="00791F13" w:rsidRDefault="00791F13" w:rsidP="00791F1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791F13">
        <w:rPr>
          <w:rFonts w:cstheme="minorHAnsi"/>
          <w:color w:val="000000" w:themeColor="text1"/>
        </w:rPr>
        <w:t>Improved infrastructure to boost responsiveness and speed</w:t>
      </w:r>
    </w:p>
    <w:p w14:paraId="46B3F50F" w14:textId="77777777" w:rsidR="00791F13" w:rsidRPr="00791F13" w:rsidRDefault="00791F13" w:rsidP="00791F1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791F13">
        <w:rPr>
          <w:rFonts w:cstheme="minorHAnsi"/>
          <w:color w:val="000000" w:themeColor="text1"/>
        </w:rPr>
        <w:t>Updated landing page featuring the compliance progress of your area, action items that need to be addressed, announcements, and more</w:t>
      </w:r>
    </w:p>
    <w:p w14:paraId="00CD29BA" w14:textId="77777777" w:rsidR="00791F13" w:rsidRPr="00791F13" w:rsidRDefault="00791F13" w:rsidP="00791F1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791F13">
        <w:rPr>
          <w:rFonts w:cstheme="minorHAnsi"/>
          <w:color w:val="000000" w:themeColor="text1"/>
        </w:rPr>
        <w:t>Support for PCI DSS v4.0 including SAQs with new response options and enhanced Knowledgebase linked to the Help feature</w:t>
      </w:r>
    </w:p>
    <w:p w14:paraId="59C67FEA" w14:textId="77777777" w:rsidR="00791F13" w:rsidRPr="00791F13" w:rsidRDefault="00791F13" w:rsidP="00791F1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791F13">
        <w:rPr>
          <w:rFonts w:cstheme="minorHAnsi"/>
          <w:color w:val="000000" w:themeColor="text1"/>
        </w:rPr>
        <w:t>Enriched Knowledgebase features all five new sections from the PCI DSS: Purpose, Good Practice, Definitions/Examples/Info, Customized Approach Objective, and Applicability Notes</w:t>
      </w:r>
    </w:p>
    <w:p w14:paraId="464B2CB9" w14:textId="2F260874" w:rsidR="00791F13" w:rsidRPr="00791F13" w:rsidRDefault="00791F13" w:rsidP="00791F1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791F13">
        <w:rPr>
          <w:rFonts w:cstheme="minorHAnsi"/>
          <w:color w:val="000000" w:themeColor="text1"/>
        </w:rPr>
        <w:t>Faster and more efficient navigation featuring dropdown choices, allowing you to access popular resources or locations from anywhere within the application more quickly</w:t>
      </w:r>
    </w:p>
    <w:p w14:paraId="012B678A" w14:textId="77777777" w:rsidR="00791F13" w:rsidRDefault="00791F13">
      <w:pPr>
        <w:rPr>
          <w:rFonts w:cstheme="minorHAnsi"/>
          <w:color w:val="000000" w:themeColor="text1"/>
        </w:rPr>
      </w:pPr>
    </w:p>
    <w:p w14:paraId="2A1AA2B1" w14:textId="19924B62" w:rsidR="00034B8D" w:rsidRDefault="00034B8D">
      <w:pPr>
        <w:rPr>
          <w:rFonts w:cstheme="minorHAnsi"/>
          <w:color w:val="000000" w:themeColor="text1"/>
        </w:rPr>
      </w:pPr>
      <w:r w:rsidRPr="00034B8D">
        <w:rPr>
          <w:rFonts w:cstheme="minorHAnsi"/>
          <w:color w:val="000000" w:themeColor="text1"/>
        </w:rPr>
        <w:t xml:space="preserve">“We </w:t>
      </w:r>
      <w:r>
        <w:rPr>
          <w:rFonts w:cstheme="minorHAnsi"/>
          <w:color w:val="000000" w:themeColor="text1"/>
        </w:rPr>
        <w:t>were</w:t>
      </w:r>
      <w:r w:rsidRPr="00034B8D">
        <w:rPr>
          <w:rFonts w:cstheme="minorHAnsi"/>
          <w:color w:val="000000" w:themeColor="text1"/>
        </w:rPr>
        <w:t xml:space="preserve"> making extensive changes in Central to accommodate the new PCI DSS v4.0, so this </w:t>
      </w:r>
      <w:r w:rsidR="00C911DA">
        <w:rPr>
          <w:rFonts w:cstheme="minorHAnsi"/>
          <w:color w:val="000000" w:themeColor="text1"/>
        </w:rPr>
        <w:t>was</w:t>
      </w:r>
      <w:r w:rsidRPr="00034B8D">
        <w:rPr>
          <w:rFonts w:cstheme="minorHAnsi"/>
          <w:color w:val="000000" w:themeColor="text1"/>
        </w:rPr>
        <w:t xml:space="preserve"> the perfect time to make enhancements to the underlying platform</w:t>
      </w:r>
      <w:r>
        <w:rPr>
          <w:rFonts w:cstheme="minorHAnsi"/>
          <w:color w:val="000000" w:themeColor="text1"/>
        </w:rPr>
        <w:t>,” said Judi Seguy, Director of Operations</w:t>
      </w:r>
      <w:r w:rsidRPr="00034B8D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>“</w:t>
      </w:r>
      <w:r w:rsidRPr="00034B8D">
        <w:rPr>
          <w:rFonts w:cstheme="minorHAnsi"/>
          <w:color w:val="000000" w:themeColor="text1"/>
        </w:rPr>
        <w:t>We reworked handl</w:t>
      </w:r>
      <w:r w:rsidR="002A3A76">
        <w:rPr>
          <w:rFonts w:cstheme="minorHAnsi"/>
          <w:color w:val="000000" w:themeColor="text1"/>
        </w:rPr>
        <w:t>ing</w:t>
      </w:r>
      <w:r w:rsidRPr="00034B8D">
        <w:rPr>
          <w:rFonts w:cstheme="minorHAnsi"/>
          <w:color w:val="000000" w:themeColor="text1"/>
        </w:rPr>
        <w:t xml:space="preserve"> permissions for more granularity</w:t>
      </w:r>
      <w:r>
        <w:rPr>
          <w:rFonts w:cstheme="minorHAnsi"/>
          <w:color w:val="000000" w:themeColor="text1"/>
        </w:rPr>
        <w:t>,</w:t>
      </w:r>
      <w:r w:rsidRPr="00034B8D">
        <w:rPr>
          <w:rFonts w:cstheme="minorHAnsi"/>
          <w:color w:val="000000" w:themeColor="text1"/>
        </w:rPr>
        <w:t xml:space="preserve"> the underlying architecture to improve speed and responsiveness, and the UI to make </w:t>
      </w:r>
      <w:r w:rsidR="002D2F77">
        <w:rPr>
          <w:rFonts w:cstheme="minorHAnsi"/>
          <w:color w:val="000000" w:themeColor="text1"/>
        </w:rPr>
        <w:t>navigation</w:t>
      </w:r>
      <w:r w:rsidRPr="00034B8D">
        <w:rPr>
          <w:rFonts w:cstheme="minorHAnsi"/>
          <w:color w:val="000000" w:themeColor="text1"/>
        </w:rPr>
        <w:t xml:space="preserve"> easier. We retained the </w:t>
      </w:r>
      <w:r>
        <w:rPr>
          <w:rFonts w:cstheme="minorHAnsi"/>
          <w:color w:val="000000" w:themeColor="text1"/>
        </w:rPr>
        <w:t xml:space="preserve">popular </w:t>
      </w:r>
      <w:r w:rsidRPr="00034B8D">
        <w:rPr>
          <w:rFonts w:cstheme="minorHAnsi"/>
          <w:color w:val="000000" w:themeColor="text1"/>
        </w:rPr>
        <w:t xml:space="preserve">features like the color-coding on the </w:t>
      </w:r>
      <w:r>
        <w:rPr>
          <w:rFonts w:cstheme="minorHAnsi"/>
          <w:color w:val="000000" w:themeColor="text1"/>
        </w:rPr>
        <w:t>a</w:t>
      </w:r>
      <w:r w:rsidRPr="00034B8D">
        <w:rPr>
          <w:rFonts w:cstheme="minorHAnsi"/>
          <w:color w:val="000000" w:themeColor="text1"/>
        </w:rPr>
        <w:t xml:space="preserve">dmin page </w:t>
      </w:r>
      <w:r>
        <w:rPr>
          <w:rFonts w:cstheme="minorHAnsi"/>
          <w:color w:val="000000" w:themeColor="text1"/>
        </w:rPr>
        <w:t>to</w:t>
      </w:r>
      <w:r w:rsidRPr="00034B8D">
        <w:rPr>
          <w:rFonts w:cstheme="minorHAnsi"/>
          <w:color w:val="000000" w:themeColor="text1"/>
        </w:rPr>
        <w:t xml:space="preserve"> quickly know each </w:t>
      </w:r>
      <w:r>
        <w:rPr>
          <w:rFonts w:cstheme="minorHAnsi"/>
          <w:color w:val="000000" w:themeColor="text1"/>
        </w:rPr>
        <w:t>merchant’s</w:t>
      </w:r>
      <w:r w:rsidRPr="00034B8D">
        <w:rPr>
          <w:rFonts w:cstheme="minorHAnsi"/>
          <w:color w:val="000000" w:themeColor="text1"/>
        </w:rPr>
        <w:t xml:space="preserve"> status, the clean layout of the AOC/SAQ sections for responding, and the multi-select </w:t>
      </w:r>
      <w:r>
        <w:rPr>
          <w:rFonts w:cstheme="minorHAnsi"/>
          <w:color w:val="000000" w:themeColor="text1"/>
        </w:rPr>
        <w:t>r</w:t>
      </w:r>
      <w:r w:rsidRPr="00034B8D">
        <w:rPr>
          <w:rFonts w:cstheme="minorHAnsi"/>
          <w:color w:val="000000" w:themeColor="text1"/>
        </w:rPr>
        <w:t xml:space="preserve">ollup </w:t>
      </w:r>
      <w:r>
        <w:rPr>
          <w:rFonts w:cstheme="minorHAnsi"/>
          <w:color w:val="000000" w:themeColor="text1"/>
        </w:rPr>
        <w:t>to</w:t>
      </w:r>
      <w:r w:rsidRPr="00034B8D">
        <w:rPr>
          <w:rFonts w:cstheme="minorHAnsi"/>
          <w:color w:val="000000" w:themeColor="text1"/>
        </w:rPr>
        <w:t xml:space="preserve"> easily summarize specific merchants into a single SAQ for submission to their acquirer. We</w:t>
      </w:r>
      <w:r w:rsidR="002D2F77">
        <w:rPr>
          <w:rFonts w:cstheme="minorHAnsi"/>
          <w:color w:val="000000" w:themeColor="text1"/>
        </w:rPr>
        <w:t xml:space="preserve">’re </w:t>
      </w:r>
      <w:r w:rsidRPr="00034B8D">
        <w:rPr>
          <w:rFonts w:cstheme="minorHAnsi"/>
          <w:color w:val="000000" w:themeColor="text1"/>
        </w:rPr>
        <w:t>excited to share this new application with our customers!”</w:t>
      </w:r>
    </w:p>
    <w:p w14:paraId="6548FE16" w14:textId="77777777" w:rsidR="00034B8D" w:rsidRDefault="00034B8D">
      <w:pPr>
        <w:rPr>
          <w:rFonts w:cstheme="minorHAnsi"/>
          <w:color w:val="000000" w:themeColor="text1"/>
        </w:rPr>
      </w:pPr>
    </w:p>
    <w:p w14:paraId="1481662A" w14:textId="4C0CE029" w:rsidR="00443386" w:rsidRDefault="000B1DD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CampusGuard Central simplifies</w:t>
      </w:r>
      <w:r w:rsidRPr="000B1DD5">
        <w:rPr>
          <w:rFonts w:cstheme="minorHAnsi"/>
          <w:color w:val="000000" w:themeColor="text1"/>
        </w:rPr>
        <w:t xml:space="preserve"> the method </w:t>
      </w:r>
      <w:r>
        <w:rPr>
          <w:rFonts w:cstheme="minorHAnsi"/>
          <w:color w:val="000000" w:themeColor="text1"/>
        </w:rPr>
        <w:t>of</w:t>
      </w:r>
      <w:r w:rsidRPr="000B1DD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managing</w:t>
      </w:r>
      <w:r w:rsidRPr="000B1DD5">
        <w:rPr>
          <w:rFonts w:cstheme="minorHAnsi"/>
          <w:color w:val="000000" w:themeColor="text1"/>
        </w:rPr>
        <w:t xml:space="preserve"> your compliance status with the PCI DSS </w:t>
      </w:r>
      <w:r>
        <w:rPr>
          <w:rFonts w:cstheme="minorHAnsi"/>
          <w:color w:val="000000" w:themeColor="text1"/>
        </w:rPr>
        <w:t>and</w:t>
      </w:r>
      <w:r w:rsidRPr="000B1DD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empowers</w:t>
      </w:r>
      <w:r w:rsidRPr="000B1DD5">
        <w:rPr>
          <w:rFonts w:cstheme="minorHAnsi"/>
          <w:color w:val="000000" w:themeColor="text1"/>
        </w:rPr>
        <w:t xml:space="preserve"> your organization to strategize and prioritize </w:t>
      </w:r>
      <w:r w:rsidR="002074AF">
        <w:rPr>
          <w:rFonts w:cstheme="minorHAnsi"/>
          <w:color w:val="000000" w:themeColor="text1"/>
        </w:rPr>
        <w:t xml:space="preserve">the </w:t>
      </w:r>
      <w:r w:rsidRPr="000B1DD5">
        <w:rPr>
          <w:rFonts w:cstheme="minorHAnsi"/>
          <w:color w:val="000000" w:themeColor="text1"/>
        </w:rPr>
        <w:t>next steps to achiev</w:t>
      </w:r>
      <w:r>
        <w:rPr>
          <w:rFonts w:cstheme="minorHAnsi"/>
          <w:color w:val="000000" w:themeColor="text1"/>
        </w:rPr>
        <w:t>ing</w:t>
      </w:r>
      <w:r w:rsidRPr="000B1DD5">
        <w:rPr>
          <w:rFonts w:cstheme="minorHAnsi"/>
          <w:color w:val="000000" w:themeColor="text1"/>
        </w:rPr>
        <w:t xml:space="preserve"> and sustain</w:t>
      </w:r>
      <w:r>
        <w:rPr>
          <w:rFonts w:cstheme="minorHAnsi"/>
          <w:color w:val="000000" w:themeColor="text1"/>
        </w:rPr>
        <w:t>ing</w:t>
      </w:r>
      <w:r w:rsidRPr="000B1DD5">
        <w:rPr>
          <w:rFonts w:cstheme="minorHAnsi"/>
          <w:color w:val="000000" w:themeColor="text1"/>
        </w:rPr>
        <w:t xml:space="preserve"> compliance. </w:t>
      </w:r>
      <w:r w:rsidR="00443386">
        <w:rPr>
          <w:rFonts w:cstheme="minorHAnsi"/>
          <w:color w:val="000000" w:themeColor="text1"/>
        </w:rPr>
        <w:t xml:space="preserve">Learn </w:t>
      </w:r>
      <w:r>
        <w:rPr>
          <w:rFonts w:cstheme="minorHAnsi"/>
          <w:color w:val="000000" w:themeColor="text1"/>
        </w:rPr>
        <w:t>how</w:t>
      </w:r>
      <w:r w:rsidR="00443386">
        <w:rPr>
          <w:rFonts w:cstheme="minorHAnsi"/>
          <w:color w:val="000000" w:themeColor="text1"/>
        </w:rPr>
        <w:t xml:space="preserve"> </w:t>
      </w:r>
      <w:hyperlink r:id="rId10" w:history="1">
        <w:r w:rsidR="00443386" w:rsidRPr="00443386">
          <w:rPr>
            <w:rStyle w:val="Hyperlink"/>
            <w:rFonts w:cstheme="minorHAnsi"/>
          </w:rPr>
          <w:t>CampusGuard Central</w:t>
        </w:r>
      </w:hyperlink>
      <w:r w:rsidR="00443386">
        <w:rPr>
          <w:rFonts w:cstheme="minorHAnsi"/>
          <w:color w:val="000000" w:themeColor="text1"/>
        </w:rPr>
        <w:t xml:space="preserve"> can </w:t>
      </w:r>
      <w:r>
        <w:rPr>
          <w:rFonts w:cstheme="minorHAnsi"/>
          <w:color w:val="000000" w:themeColor="text1"/>
        </w:rPr>
        <w:t>streamline</w:t>
      </w:r>
      <w:r w:rsidR="00443386">
        <w:rPr>
          <w:rFonts w:cstheme="minorHAnsi"/>
          <w:color w:val="000000" w:themeColor="text1"/>
        </w:rPr>
        <w:t xml:space="preserve"> your organization’s compliance management.</w:t>
      </w:r>
    </w:p>
    <w:p w14:paraId="1E7C2822" w14:textId="77777777" w:rsidR="00443386" w:rsidRDefault="00443386">
      <w:pPr>
        <w:rPr>
          <w:rFonts w:cstheme="minorHAnsi"/>
          <w:color w:val="000000" w:themeColor="text1"/>
        </w:rPr>
      </w:pPr>
    </w:p>
    <w:p w14:paraId="239B3A1D" w14:textId="77777777" w:rsidR="00A8361D" w:rsidRPr="00A8361D" w:rsidRDefault="0077005A">
      <w:pPr>
        <w:rPr>
          <w:rFonts w:cstheme="minorHAnsi"/>
          <w:b/>
          <w:bCs/>
          <w:color w:val="000000" w:themeColor="text1"/>
        </w:rPr>
      </w:pPr>
      <w:r w:rsidRPr="00A8361D">
        <w:rPr>
          <w:rFonts w:cstheme="minorHAnsi"/>
          <w:b/>
          <w:bCs/>
          <w:color w:val="000000" w:themeColor="text1"/>
        </w:rPr>
        <w:t>About CampusGuard</w:t>
      </w:r>
    </w:p>
    <w:p w14:paraId="0295A340" w14:textId="2C175EF9" w:rsidR="0077005A" w:rsidRDefault="00A8361D">
      <w:pPr>
        <w:rPr>
          <w:rFonts w:cstheme="minorHAnsi"/>
          <w:color w:val="000000" w:themeColor="text1"/>
        </w:rPr>
      </w:pPr>
      <w:r w:rsidRPr="00A8361D">
        <w:rPr>
          <w:rFonts w:cstheme="minorHAnsi"/>
          <w:color w:val="000000" w:themeColor="text1"/>
        </w:rPr>
        <w:t xml:space="preserve">Founded in 2009, CampusGuard provides cybersecurity and compliance services for campus and community-based organizations, including higher education, healthcare, state and local government and agencies, financial services firms, and SaaS/tech companies, among others. CampusGuard’s success in serving their customers can be attributed to the experience, education, and commitment of their certified professionals and their in-depth understanding of the unique needs of the markets they serve. For more information visit </w:t>
      </w:r>
      <w:hyperlink r:id="rId11" w:history="1">
        <w:r w:rsidRPr="00034B8D">
          <w:rPr>
            <w:rStyle w:val="Hyperlink"/>
            <w:rFonts w:cstheme="minorHAnsi"/>
          </w:rPr>
          <w:t>www.campusguard.com</w:t>
        </w:r>
      </w:hyperlink>
      <w:r w:rsidRPr="00A8361D">
        <w:rPr>
          <w:rFonts w:cstheme="minorHAnsi"/>
          <w:color w:val="000000" w:themeColor="text1"/>
        </w:rPr>
        <w:t>.</w:t>
      </w:r>
    </w:p>
    <w:p w14:paraId="0778A9B9" w14:textId="77777777" w:rsidR="0077005A" w:rsidRPr="00F40114" w:rsidRDefault="0077005A">
      <w:pPr>
        <w:rPr>
          <w:rFonts w:cstheme="minorHAnsi"/>
          <w:color w:val="000000" w:themeColor="text1"/>
        </w:rPr>
      </w:pPr>
    </w:p>
    <w:sectPr w:rsidR="0077005A" w:rsidRPr="00F4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7FEA" w14:textId="77777777" w:rsidR="00033B40" w:rsidRDefault="00033B40" w:rsidP="00D060B9">
      <w:r>
        <w:separator/>
      </w:r>
    </w:p>
  </w:endnote>
  <w:endnote w:type="continuationSeparator" w:id="0">
    <w:p w14:paraId="5AC8760B" w14:textId="77777777" w:rsidR="00033B40" w:rsidRDefault="00033B40" w:rsidP="00D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971B" w14:textId="77777777" w:rsidR="00033B40" w:rsidRDefault="00033B40" w:rsidP="00D060B9">
      <w:r>
        <w:separator/>
      </w:r>
    </w:p>
  </w:footnote>
  <w:footnote w:type="continuationSeparator" w:id="0">
    <w:p w14:paraId="279412AE" w14:textId="77777777" w:rsidR="00033B40" w:rsidRDefault="00033B40" w:rsidP="00D0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8F7"/>
    <w:multiLevelType w:val="hybridMultilevel"/>
    <w:tmpl w:val="233A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5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14"/>
    <w:rsid w:val="00033B40"/>
    <w:rsid w:val="00034B8D"/>
    <w:rsid w:val="00041598"/>
    <w:rsid w:val="00080A66"/>
    <w:rsid w:val="000B1DD5"/>
    <w:rsid w:val="00107D3B"/>
    <w:rsid w:val="001E631E"/>
    <w:rsid w:val="002074AF"/>
    <w:rsid w:val="00254902"/>
    <w:rsid w:val="002A3A76"/>
    <w:rsid w:val="002D2F77"/>
    <w:rsid w:val="0034048A"/>
    <w:rsid w:val="00443386"/>
    <w:rsid w:val="00707FC3"/>
    <w:rsid w:val="0077005A"/>
    <w:rsid w:val="00791F13"/>
    <w:rsid w:val="00A8361D"/>
    <w:rsid w:val="00C911DA"/>
    <w:rsid w:val="00D060B9"/>
    <w:rsid w:val="00DE27C6"/>
    <w:rsid w:val="00F40114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6E612"/>
  <w15:chartTrackingRefBased/>
  <w15:docId w15:val="{75FF39AF-14ED-5048-9EC2-BD605471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mpusguard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mpusguard.com/customer-compliance-portal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d5f79c-4d66-456f-97f2-17e4376e1849" xsi:nil="true"/>
    <TaxCatchAll xmlns="25340b50-8fb0-42cc-8dbe-664a1ff0442c" xsi:nil="true"/>
    <lcf76f155ced4ddcb4097134ff3c332f xmlns="a7d5f79c-4d66-456f-97f2-17e4376e18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5C4C24B06CB4CA8A72C05264EAE9F" ma:contentTypeVersion="18" ma:contentTypeDescription="Create a new document." ma:contentTypeScope="" ma:versionID="09261090c8c1c644e1a937a35b8df7a5">
  <xsd:schema xmlns:xsd="http://www.w3.org/2001/XMLSchema" xmlns:xs="http://www.w3.org/2001/XMLSchema" xmlns:p="http://schemas.microsoft.com/office/2006/metadata/properties" xmlns:ns2="a7d5f79c-4d66-456f-97f2-17e4376e1849" xmlns:ns3="25340b50-8fb0-42cc-8dbe-664a1ff0442c" targetNamespace="http://schemas.microsoft.com/office/2006/metadata/properties" ma:root="true" ma:fieldsID="7240a799eb7cbe2fb9375a39ae743216" ns2:_="" ns3:_="">
    <xsd:import namespace="a7d5f79c-4d66-456f-97f2-17e4376e1849"/>
    <xsd:import namespace="25340b50-8fb0-42cc-8dbe-664a1ff04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5f79c-4d66-456f-97f2-17e4376e1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60dcc3-c97e-436a-a0de-adda31d8f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40b50-8fb0-42cc-8dbe-664a1ff0442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654828-cb05-4d64-85a4-b969128c437a}" ma:internalName="TaxCatchAll" ma:showField="CatchAllData" ma:web="dc8f6948-46fc-4a55-8964-40c1ac07e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7287D-F1F1-4C25-940C-71C0D0FBEA0B}">
  <ds:schemaRefs>
    <ds:schemaRef ds:uri="http://schemas.microsoft.com/office/2006/metadata/properties"/>
    <ds:schemaRef ds:uri="http://schemas.microsoft.com/office/infopath/2007/PartnerControls"/>
    <ds:schemaRef ds:uri="a7d5f79c-4d66-456f-97f2-17e4376e1849"/>
    <ds:schemaRef ds:uri="25340b50-8fb0-42cc-8dbe-664a1ff0442c"/>
  </ds:schemaRefs>
</ds:datastoreItem>
</file>

<file path=customXml/itemProps2.xml><?xml version="1.0" encoding="utf-8"?>
<ds:datastoreItem xmlns:ds="http://schemas.openxmlformats.org/officeDocument/2006/customXml" ds:itemID="{43A51A17-D62B-4500-9462-E08BD138C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5f79c-4d66-456f-97f2-17e4376e1849"/>
    <ds:schemaRef ds:uri="25340b50-8fb0-42cc-8dbe-664a1ff04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E244E-5111-4EA1-A407-BB21622DF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4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Staples, Kathy</dc:creator>
  <cp:keywords/>
  <dc:description/>
  <cp:lastModifiedBy>Staples, Kathy</cp:lastModifiedBy>
  <cp:revision>2</cp:revision>
  <dcterms:created xsi:type="dcterms:W3CDTF">2023-07-07T20:17:00Z</dcterms:created>
  <dcterms:modified xsi:type="dcterms:W3CDTF">2023-07-07T20:17:00Z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0x010100AB65C4C24B06CB4CA8A72C05264EAE9F</vt:lpwstr>
  </property>
</Properties>
</file>