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075D" w14:textId="24CFEE82" w:rsidR="00B47893" w:rsidRDefault="00B47893" w:rsidP="00F14A0D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57FDB629" wp14:editId="4A912EA6">
            <wp:extent cx="2567553" cy="438064"/>
            <wp:effectExtent l="0" t="0" r="0" b="0"/>
            <wp:docPr id="1724422770" name="Picture 1" descr="A black background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22770" name="Picture 1" descr="A black background with red and blue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6" t="43816" r="13277" b="44030"/>
                    <a:stretch/>
                  </pic:blipFill>
                  <pic:spPr bwMode="auto">
                    <a:xfrm>
                      <a:off x="0" y="0"/>
                      <a:ext cx="3065471" cy="52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71D70" w14:textId="7A21A5D6" w:rsidR="00F14A0D" w:rsidRPr="00B47893" w:rsidRDefault="00F14A0D" w:rsidP="00F14A0D">
      <w:pPr>
        <w:rPr>
          <w:rFonts w:ascii="Calibri" w:hAnsi="Calibri" w:cs="Calibri"/>
          <w:b/>
          <w:bCs/>
          <w:sz w:val="32"/>
          <w:szCs w:val="32"/>
        </w:rPr>
      </w:pPr>
      <w:r w:rsidRPr="00B47893">
        <w:rPr>
          <w:rFonts w:ascii="Calibri" w:hAnsi="Calibri" w:cs="Calibri"/>
          <w:b/>
          <w:bCs/>
          <w:sz w:val="32"/>
          <w:szCs w:val="32"/>
        </w:rPr>
        <w:t>Introducing the New, Enhanced CampusGuard Central</w:t>
      </w:r>
    </w:p>
    <w:p w14:paraId="4C035778" w14:textId="77777777" w:rsidR="00F14A0D" w:rsidRPr="00EB1CB6" w:rsidRDefault="00F14A0D" w:rsidP="00F14A0D">
      <w:pPr>
        <w:rPr>
          <w:rFonts w:ascii="Calibri" w:hAnsi="Calibri" w:cs="Calibri"/>
        </w:rPr>
      </w:pPr>
    </w:p>
    <w:p w14:paraId="406DE6F8" w14:textId="46C43542" w:rsidR="00F14A0D" w:rsidRPr="00F14A0D" w:rsidRDefault="00F14A0D" w:rsidP="00F14A0D">
      <w:pPr>
        <w:rPr>
          <w:rFonts w:ascii="Calibri" w:hAnsi="Calibri" w:cs="Calibri"/>
        </w:rPr>
      </w:pPr>
      <w:r w:rsidRPr="6BC92CA0">
        <w:rPr>
          <w:rFonts w:ascii="Calibri" w:hAnsi="Calibri" w:cs="Calibri"/>
        </w:rPr>
        <w:t xml:space="preserve">LINCOLN, NEBRASKA—CampusGuard, a full-service cybersecurity and compliance services firm, </w:t>
      </w:r>
      <w:r w:rsidR="215C1535" w:rsidRPr="6BC92CA0">
        <w:rPr>
          <w:rFonts w:ascii="Calibri" w:hAnsi="Calibri" w:cs="Calibri"/>
        </w:rPr>
        <w:t xml:space="preserve">is excited to announce the </w:t>
      </w:r>
      <w:r w:rsidRPr="6BC92CA0">
        <w:rPr>
          <w:rFonts w:ascii="Calibri" w:hAnsi="Calibri" w:cs="Calibri"/>
        </w:rPr>
        <w:t>latest release of CampusGuard Central</w:t>
      </w:r>
      <w:r w:rsidRPr="6BC92CA0">
        <w:rPr>
          <w:rFonts w:ascii="Calibri" w:hAnsi="Calibri" w:cs="Calibri"/>
          <w:vertAlign w:val="superscript"/>
        </w:rPr>
        <w:t>®</w:t>
      </w:r>
      <w:r w:rsidRPr="6BC92CA0">
        <w:rPr>
          <w:rFonts w:ascii="Calibri" w:hAnsi="Calibri" w:cs="Calibri"/>
        </w:rPr>
        <w:t>, its dynamic customer compliance portal. CampusGuard Central empowers organizations to manage PCI DSS compliance across their enterprise with a single, user-friendly tool.</w:t>
      </w:r>
    </w:p>
    <w:p w14:paraId="6447D7C7" w14:textId="77777777" w:rsidR="00F14A0D" w:rsidRPr="00EB1CB6" w:rsidRDefault="00F14A0D" w:rsidP="00F14A0D">
      <w:pPr>
        <w:rPr>
          <w:rFonts w:ascii="Calibri" w:hAnsi="Calibri" w:cs="Calibri"/>
        </w:rPr>
      </w:pPr>
    </w:p>
    <w:p w14:paraId="534294EE" w14:textId="6C2EFC1F" w:rsidR="00F14A0D" w:rsidRPr="00EB1CB6" w:rsidRDefault="00F14A0D" w:rsidP="00F14A0D">
      <w:pPr>
        <w:rPr>
          <w:rFonts w:ascii="Calibri" w:hAnsi="Calibri" w:cs="Calibri"/>
        </w:rPr>
      </w:pPr>
      <w:r w:rsidRPr="5ACE56C0">
        <w:rPr>
          <w:rFonts w:ascii="Calibri" w:hAnsi="Calibri" w:cs="Calibri"/>
        </w:rPr>
        <w:t>Central</w:t>
      </w:r>
      <w:r w:rsidR="0006395C" w:rsidRPr="5ACE56C0">
        <w:rPr>
          <w:rFonts w:ascii="Calibri" w:hAnsi="Calibri" w:cs="Calibri"/>
        </w:rPr>
        <w:t xml:space="preserve">’s latest release </w:t>
      </w:r>
      <w:r w:rsidRPr="5ACE56C0">
        <w:rPr>
          <w:rFonts w:ascii="Calibri" w:hAnsi="Calibri" w:cs="Calibri"/>
        </w:rPr>
        <w:t>includes the following enhancements:</w:t>
      </w:r>
    </w:p>
    <w:p w14:paraId="6352AF6A" w14:textId="5CAAD245" w:rsidR="5ACE56C0" w:rsidRDefault="5ACE56C0" w:rsidP="5ACE56C0">
      <w:pPr>
        <w:rPr>
          <w:rFonts w:ascii="Calibri" w:hAnsi="Calibri" w:cs="Calibri"/>
        </w:rPr>
      </w:pPr>
    </w:p>
    <w:p w14:paraId="65FB2C48" w14:textId="17274C45" w:rsidR="00D054B2" w:rsidRPr="00D054B2" w:rsidRDefault="6C41D214" w:rsidP="00D054B2">
      <w:pPr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Updated user interface:</w:t>
      </w:r>
    </w:p>
    <w:p w14:paraId="6A7748E6" w14:textId="62E17616" w:rsidR="00D054B2" w:rsidRPr="00D054B2" w:rsidRDefault="6C41D214" w:rsidP="3912CF38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Hide or expand the left navigation bar</w:t>
      </w:r>
    </w:p>
    <w:p w14:paraId="6943C39E" w14:textId="72FCA3DB" w:rsidR="00D054B2" w:rsidRPr="00D054B2" w:rsidRDefault="6C41D214" w:rsidP="3912CF38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Collapsible group headers on the dashboard</w:t>
      </w:r>
    </w:p>
    <w:p w14:paraId="258CEBEC" w14:textId="528958D4" w:rsidR="00D054B2" w:rsidRPr="00D054B2" w:rsidRDefault="6C41D214" w:rsidP="3912CF38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Expand the view to </w:t>
      </w:r>
      <w:proofErr w:type="gramStart"/>
      <w:r w:rsidR="00B47893">
        <w:rPr>
          <w:rFonts w:ascii="Calibri" w:hAnsi="Calibri" w:cs="Calibri"/>
        </w:rPr>
        <w:t>full-screen</w:t>
      </w:r>
      <w:proofErr w:type="gramEnd"/>
    </w:p>
    <w:p w14:paraId="68BAC48F" w14:textId="518203DD" w:rsidR="00D054B2" w:rsidRPr="00D054B2" w:rsidRDefault="6C41D214" w:rsidP="3912CF38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Resize and/or filter data tables</w:t>
      </w:r>
    </w:p>
    <w:p w14:paraId="0AFE9B17" w14:textId="43DCEEA1" w:rsidR="00D054B2" w:rsidRPr="00D054B2" w:rsidRDefault="48C67793" w:rsidP="00D054B2">
      <w:pPr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 xml:space="preserve">Full support for PCI DSS v4.0 </w:t>
      </w:r>
    </w:p>
    <w:p w14:paraId="6C9D6EC9" w14:textId="153EBD88" w:rsidR="00D054B2" w:rsidRPr="00D054B2" w:rsidRDefault="48C67793" w:rsidP="00D054B2">
      <w:pPr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Customers can define an unlimited number of Custom Fields</w:t>
      </w:r>
    </w:p>
    <w:p w14:paraId="53766ADE" w14:textId="613690BD" w:rsidR="00D054B2" w:rsidRPr="00D054B2" w:rsidRDefault="48C67793" w:rsidP="3912CF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 xml:space="preserve">Centralized button hub for quick access to common functions </w:t>
      </w:r>
    </w:p>
    <w:p w14:paraId="2E038D7B" w14:textId="5FA9CE64" w:rsidR="00D054B2" w:rsidRPr="00D054B2" w:rsidRDefault="1CA0ED84" w:rsidP="00D054B2">
      <w:pPr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T</w:t>
      </w:r>
      <w:r w:rsidR="00D054B2" w:rsidRPr="3912CF38">
        <w:rPr>
          <w:rFonts w:ascii="Calibri" w:hAnsi="Calibri" w:cs="Calibri"/>
        </w:rPr>
        <w:t>wo-factor authentication</w:t>
      </w:r>
      <w:r w:rsidR="5011D65B" w:rsidRPr="3912CF38">
        <w:rPr>
          <w:rFonts w:ascii="Calibri" w:hAnsi="Calibri" w:cs="Calibri"/>
        </w:rPr>
        <w:t xml:space="preserve"> via email or mobile</w:t>
      </w:r>
    </w:p>
    <w:p w14:paraId="595771F0" w14:textId="5669695A" w:rsidR="00D054B2" w:rsidRPr="00D054B2" w:rsidRDefault="630DF614" w:rsidP="00D054B2">
      <w:pPr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>SAQ summaries (</w:t>
      </w:r>
      <w:r w:rsidR="003D6BCE">
        <w:rPr>
          <w:rFonts w:ascii="Calibri" w:hAnsi="Calibri" w:cs="Calibri"/>
        </w:rPr>
        <w:t>aka</w:t>
      </w:r>
      <w:r w:rsidRPr="3912CF38">
        <w:rPr>
          <w:rFonts w:ascii="Calibri" w:hAnsi="Calibri" w:cs="Calibri"/>
        </w:rPr>
        <w:t xml:space="preserve"> </w:t>
      </w:r>
      <w:r w:rsidR="00D054B2" w:rsidRPr="3912CF38">
        <w:rPr>
          <w:rFonts w:ascii="Calibri" w:hAnsi="Calibri" w:cs="Calibri"/>
        </w:rPr>
        <w:t>Rollups</w:t>
      </w:r>
      <w:r w:rsidR="159576F4" w:rsidRPr="3912CF38">
        <w:rPr>
          <w:rFonts w:ascii="Calibri" w:hAnsi="Calibri" w:cs="Calibri"/>
        </w:rPr>
        <w:t>)</w:t>
      </w:r>
      <w:r w:rsidR="00D054B2" w:rsidRPr="3912CF38">
        <w:rPr>
          <w:rFonts w:ascii="Calibri" w:hAnsi="Calibri" w:cs="Calibri"/>
        </w:rPr>
        <w:t xml:space="preserve"> now have their own section</w:t>
      </w:r>
    </w:p>
    <w:p w14:paraId="13B84C59" w14:textId="156C5086" w:rsidR="26A781A8" w:rsidRDefault="003D6BCE" w:rsidP="3912CF38">
      <w:pPr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The application</w:t>
      </w:r>
      <w:r w:rsidR="26A781A8" w:rsidRPr="03296A4C">
        <w:rPr>
          <w:rFonts w:ascii="Calibri" w:hAnsi="Calibri" w:cs="Calibri"/>
        </w:rPr>
        <w:t xml:space="preserve"> returns the user to where they left of</w:t>
      </w:r>
      <w:r w:rsidR="30A98BFB" w:rsidRPr="03296A4C">
        <w:rPr>
          <w:rFonts w:ascii="Calibri" w:hAnsi="Calibri" w:cs="Calibri"/>
        </w:rPr>
        <w:t>f</w:t>
      </w:r>
      <w:r w:rsidR="26A781A8" w:rsidRPr="03296A4C">
        <w:rPr>
          <w:rFonts w:ascii="Calibri" w:hAnsi="Calibri" w:cs="Calibri"/>
        </w:rPr>
        <w:t xml:space="preserve"> within their incomplete SAQ</w:t>
      </w:r>
    </w:p>
    <w:p w14:paraId="6781F9D5" w14:textId="68ABD663" w:rsidR="00C83DFE" w:rsidRPr="00C83DFE" w:rsidRDefault="79D6D75F" w:rsidP="00C83DFE">
      <w:pPr>
        <w:numPr>
          <w:ilvl w:val="0"/>
          <w:numId w:val="2"/>
        </w:numPr>
        <w:rPr>
          <w:rFonts w:ascii="Calibri" w:hAnsi="Calibri" w:cs="Calibri"/>
        </w:rPr>
      </w:pPr>
      <w:r w:rsidRPr="3912CF38">
        <w:rPr>
          <w:rFonts w:ascii="Calibri" w:hAnsi="Calibri" w:cs="Calibri"/>
        </w:rPr>
        <w:t xml:space="preserve">Ability to </w:t>
      </w:r>
      <w:r w:rsidR="00C83DFE" w:rsidRPr="3912CF38">
        <w:rPr>
          <w:rFonts w:ascii="Calibri" w:hAnsi="Calibri" w:cs="Calibri"/>
        </w:rPr>
        <w:t xml:space="preserve">upload multiple documents </w:t>
      </w:r>
      <w:r w:rsidR="4EE6C1B6" w:rsidRPr="3912CF38">
        <w:rPr>
          <w:rFonts w:ascii="Calibri" w:hAnsi="Calibri" w:cs="Calibri"/>
        </w:rPr>
        <w:t xml:space="preserve">into the </w:t>
      </w:r>
      <w:r w:rsidR="00C83DFE" w:rsidRPr="3912CF38">
        <w:rPr>
          <w:rFonts w:ascii="Calibri" w:hAnsi="Calibri" w:cs="Calibri"/>
        </w:rPr>
        <w:t>Document Locker</w:t>
      </w:r>
      <w:r w:rsidR="35B54B43" w:rsidRPr="3912CF38">
        <w:rPr>
          <w:rFonts w:ascii="Calibri" w:hAnsi="Calibri" w:cs="Calibri"/>
        </w:rPr>
        <w:t xml:space="preserve"> at the same time</w:t>
      </w:r>
    </w:p>
    <w:p w14:paraId="4D6F1CF5" w14:textId="77777777" w:rsidR="003D6BCE" w:rsidRDefault="003D6BCE" w:rsidP="00F14A0D">
      <w:pPr>
        <w:rPr>
          <w:rFonts w:ascii="Calibri" w:hAnsi="Calibri" w:cs="Calibri"/>
        </w:rPr>
      </w:pPr>
    </w:p>
    <w:p w14:paraId="20A855D4" w14:textId="12151263" w:rsidR="00F14A0D" w:rsidRPr="00EB1CB6" w:rsidRDefault="00F14A0D" w:rsidP="00F14A0D">
      <w:pPr>
        <w:rPr>
          <w:rFonts w:ascii="Calibri" w:hAnsi="Calibri" w:cs="Calibri"/>
        </w:rPr>
      </w:pPr>
      <w:r w:rsidRPr="03296A4C">
        <w:rPr>
          <w:rFonts w:ascii="Calibri" w:hAnsi="Calibri" w:cs="Calibri"/>
        </w:rPr>
        <w:t>“</w:t>
      </w:r>
      <w:r w:rsidR="7E76337F" w:rsidRPr="03296A4C">
        <w:rPr>
          <w:rFonts w:ascii="Calibri" w:hAnsi="Calibri" w:cs="Calibri"/>
        </w:rPr>
        <w:t>O</w:t>
      </w:r>
      <w:r w:rsidR="3ACB33AF" w:rsidRPr="03296A4C">
        <w:rPr>
          <w:rFonts w:ascii="Calibri" w:hAnsi="Calibri" w:cs="Calibri"/>
        </w:rPr>
        <w:t xml:space="preserve">ur customers </w:t>
      </w:r>
      <w:r w:rsidR="7A58C042" w:rsidRPr="03296A4C">
        <w:rPr>
          <w:rFonts w:ascii="Calibri" w:hAnsi="Calibri" w:cs="Calibri"/>
        </w:rPr>
        <w:t>are our greatest source of feedback and inspiration; we listen to them</w:t>
      </w:r>
      <w:r w:rsidR="70484F29" w:rsidRPr="03296A4C">
        <w:rPr>
          <w:rFonts w:ascii="Calibri" w:hAnsi="Calibri" w:cs="Calibri"/>
        </w:rPr>
        <w:t>,</w:t>
      </w:r>
      <w:r w:rsidR="7A58C042" w:rsidRPr="03296A4C">
        <w:rPr>
          <w:rFonts w:ascii="Calibri" w:hAnsi="Calibri" w:cs="Calibri"/>
        </w:rPr>
        <w:t xml:space="preserve">” </w:t>
      </w:r>
      <w:r w:rsidRPr="03296A4C">
        <w:rPr>
          <w:rFonts w:ascii="Calibri" w:hAnsi="Calibri" w:cs="Calibri"/>
        </w:rPr>
        <w:t>said Judi Seguy, Director of Operations. “</w:t>
      </w:r>
      <w:r w:rsidR="3F8B707B" w:rsidRPr="03296A4C">
        <w:rPr>
          <w:rFonts w:ascii="Calibri" w:hAnsi="Calibri" w:cs="Calibri"/>
        </w:rPr>
        <w:t>Since our major update in 2023</w:t>
      </w:r>
      <w:r w:rsidR="00211B3C" w:rsidRPr="03296A4C">
        <w:rPr>
          <w:rFonts w:ascii="Calibri" w:hAnsi="Calibri" w:cs="Calibri"/>
        </w:rPr>
        <w:t xml:space="preserve">, </w:t>
      </w:r>
      <w:r w:rsidR="3AA97E77" w:rsidRPr="03296A4C">
        <w:rPr>
          <w:rFonts w:ascii="Calibri" w:hAnsi="Calibri" w:cs="Calibri"/>
        </w:rPr>
        <w:t xml:space="preserve">the Development Team </w:t>
      </w:r>
      <w:r w:rsidR="60939D74" w:rsidRPr="03296A4C">
        <w:rPr>
          <w:rFonts w:ascii="Calibri" w:hAnsi="Calibri" w:cs="Calibri"/>
        </w:rPr>
        <w:t>has</w:t>
      </w:r>
      <w:r w:rsidR="3AA97E77" w:rsidRPr="03296A4C">
        <w:rPr>
          <w:rFonts w:ascii="Calibri" w:hAnsi="Calibri" w:cs="Calibri"/>
        </w:rPr>
        <w:t xml:space="preserve"> </w:t>
      </w:r>
      <w:r w:rsidR="00211B3C" w:rsidRPr="03296A4C">
        <w:rPr>
          <w:rFonts w:ascii="Calibri" w:hAnsi="Calibri" w:cs="Calibri"/>
        </w:rPr>
        <w:t xml:space="preserve">worked </w:t>
      </w:r>
      <w:r w:rsidR="6EE14A57" w:rsidRPr="03296A4C">
        <w:rPr>
          <w:rFonts w:ascii="Calibri" w:hAnsi="Calibri" w:cs="Calibri"/>
        </w:rPr>
        <w:t xml:space="preserve">especially </w:t>
      </w:r>
      <w:r w:rsidR="00211B3C" w:rsidRPr="03296A4C">
        <w:rPr>
          <w:rFonts w:ascii="Calibri" w:hAnsi="Calibri" w:cs="Calibri"/>
        </w:rPr>
        <w:t xml:space="preserve">hard to deliver major infrastructure upgrades to </w:t>
      </w:r>
      <w:r w:rsidR="76CFC502" w:rsidRPr="03296A4C">
        <w:rPr>
          <w:rFonts w:ascii="Calibri" w:hAnsi="Calibri" w:cs="Calibri"/>
        </w:rPr>
        <w:t>Central</w:t>
      </w:r>
      <w:r w:rsidR="00211B3C" w:rsidRPr="03296A4C">
        <w:rPr>
          <w:rFonts w:ascii="Calibri" w:hAnsi="Calibri" w:cs="Calibri"/>
        </w:rPr>
        <w:t>, bringing noticeable performance boosts and a</w:t>
      </w:r>
      <w:r w:rsidR="6F2E1FE8" w:rsidRPr="03296A4C">
        <w:rPr>
          <w:rFonts w:ascii="Calibri" w:hAnsi="Calibri" w:cs="Calibri"/>
        </w:rPr>
        <w:t>n</w:t>
      </w:r>
      <w:r w:rsidR="00211B3C" w:rsidRPr="03296A4C">
        <w:rPr>
          <w:rFonts w:ascii="Calibri" w:hAnsi="Calibri" w:cs="Calibri"/>
        </w:rPr>
        <w:t xml:space="preserve"> updated</w:t>
      </w:r>
      <w:r w:rsidR="375049B0" w:rsidRPr="03296A4C">
        <w:rPr>
          <w:rFonts w:ascii="Calibri" w:hAnsi="Calibri" w:cs="Calibri"/>
        </w:rPr>
        <w:t>, more intuitive</w:t>
      </w:r>
      <w:r w:rsidR="00211B3C" w:rsidRPr="03296A4C">
        <w:rPr>
          <w:rFonts w:ascii="Calibri" w:hAnsi="Calibri" w:cs="Calibri"/>
        </w:rPr>
        <w:t xml:space="preserve"> user interface.</w:t>
      </w:r>
      <w:r w:rsidR="00D11043" w:rsidRPr="03296A4C">
        <w:rPr>
          <w:rFonts w:ascii="Calibri" w:hAnsi="Calibri" w:cs="Calibri"/>
        </w:rPr>
        <w:t xml:space="preserve"> We're thrilled to share these upgrades with you, and we think you'll love the enhanced experience.</w:t>
      </w:r>
      <w:r w:rsidRPr="03296A4C">
        <w:rPr>
          <w:rFonts w:ascii="Calibri" w:hAnsi="Calibri" w:cs="Calibri"/>
        </w:rPr>
        <w:t>”</w:t>
      </w:r>
    </w:p>
    <w:p w14:paraId="509C7234" w14:textId="77777777" w:rsidR="00F14A0D" w:rsidRPr="00F14A0D" w:rsidRDefault="00F14A0D" w:rsidP="00F14A0D">
      <w:pPr>
        <w:rPr>
          <w:rFonts w:ascii="Calibri" w:hAnsi="Calibri" w:cs="Calibri"/>
        </w:rPr>
      </w:pPr>
    </w:p>
    <w:p w14:paraId="74F16BD9" w14:textId="19CEB1E8" w:rsidR="00F14A0D" w:rsidRPr="00EB1CB6" w:rsidRDefault="001C2F39" w:rsidP="00F14A0D">
      <w:pPr>
        <w:rPr>
          <w:rFonts w:ascii="Calibri" w:hAnsi="Calibri" w:cs="Calibri"/>
        </w:rPr>
      </w:pPr>
      <w:r w:rsidRPr="00EB1CB6">
        <w:rPr>
          <w:rFonts w:ascii="Calibri" w:hAnsi="Calibri" w:cs="Calibri"/>
        </w:rPr>
        <w:t xml:space="preserve">CampusGuard Central simplifies managing your PCI DSS compliance status and empowers your organization to strategize and prioritize the next steps for achieving and maintaining compliance. Explore how </w:t>
      </w:r>
      <w:hyperlink r:id="rId9" w:tgtFrame="_blank" w:history="1">
        <w:r w:rsidRPr="00F14A0D">
          <w:rPr>
            <w:rStyle w:val="Hyperlink"/>
            <w:rFonts w:ascii="Calibri" w:hAnsi="Calibri" w:cs="Calibri"/>
          </w:rPr>
          <w:t>CampusGuard Central</w:t>
        </w:r>
      </w:hyperlink>
      <w:r w:rsidRPr="00EB1CB6">
        <w:rPr>
          <w:rFonts w:ascii="Calibri" w:hAnsi="Calibri" w:cs="Calibri"/>
        </w:rPr>
        <w:t xml:space="preserve"> can streamline your </w:t>
      </w:r>
      <w:r w:rsidR="00047D9A" w:rsidRPr="00EB1CB6">
        <w:rPr>
          <w:rFonts w:ascii="Calibri" w:hAnsi="Calibri" w:cs="Calibri"/>
        </w:rPr>
        <w:t xml:space="preserve">PCI DSS </w:t>
      </w:r>
      <w:r w:rsidRPr="00EB1CB6">
        <w:rPr>
          <w:rFonts w:ascii="Calibri" w:hAnsi="Calibri" w:cs="Calibri"/>
        </w:rPr>
        <w:t>compliance management process.</w:t>
      </w:r>
      <w:r w:rsidR="00F14A0D" w:rsidRPr="00F14A0D">
        <w:rPr>
          <w:rFonts w:ascii="Calibri" w:hAnsi="Calibri" w:cs="Calibri"/>
        </w:rPr>
        <w:t>  </w:t>
      </w:r>
    </w:p>
    <w:p w14:paraId="5C6FDD0D" w14:textId="77777777" w:rsidR="00F14A0D" w:rsidRPr="00F14A0D" w:rsidRDefault="00F14A0D" w:rsidP="00F14A0D">
      <w:pPr>
        <w:rPr>
          <w:rFonts w:ascii="Calibri" w:hAnsi="Calibri" w:cs="Calibri"/>
        </w:rPr>
      </w:pPr>
    </w:p>
    <w:p w14:paraId="6CC348C2" w14:textId="77777777" w:rsidR="00F14A0D" w:rsidRPr="00F14A0D" w:rsidRDefault="00F14A0D" w:rsidP="00F14A0D">
      <w:pPr>
        <w:rPr>
          <w:rFonts w:ascii="Calibri" w:hAnsi="Calibri" w:cs="Calibri"/>
          <w:b/>
          <w:bCs/>
        </w:rPr>
      </w:pPr>
      <w:r w:rsidRPr="00F14A0D">
        <w:rPr>
          <w:rFonts w:ascii="Calibri" w:hAnsi="Calibri" w:cs="Calibri"/>
          <w:b/>
          <w:bCs/>
        </w:rPr>
        <w:t>About CampusGuard</w:t>
      </w:r>
    </w:p>
    <w:p w14:paraId="32FE65D4" w14:textId="28C66004" w:rsidR="00041598" w:rsidRPr="00EB1CB6" w:rsidRDefault="00F14A0D">
      <w:pPr>
        <w:rPr>
          <w:rFonts w:ascii="Calibri" w:hAnsi="Calibri" w:cs="Calibri"/>
        </w:rPr>
      </w:pPr>
      <w:r w:rsidRPr="00F14A0D">
        <w:rPr>
          <w:rFonts w:ascii="Calibri" w:hAnsi="Calibri" w:cs="Calibri"/>
        </w:rPr>
        <w:t>Founded in 2009, CampusGuard provides cybersecurity and compliance services for com</w:t>
      </w:r>
      <w:r w:rsidR="003D6BCE">
        <w:rPr>
          <w:rFonts w:ascii="Calibri" w:hAnsi="Calibri" w:cs="Calibri"/>
        </w:rPr>
        <w:t xml:space="preserve">plex </w:t>
      </w:r>
      <w:r w:rsidRPr="00F14A0D">
        <w:rPr>
          <w:rFonts w:ascii="Calibri" w:hAnsi="Calibri" w:cs="Calibri"/>
        </w:rPr>
        <w:t>organizations, including higher education, healthcare, state and local government and agencies, financial services firms, and SaaS/tech companies, among others. CampusGuard’s success in serving their customers can be attributed to the experience, education, and commitment of their certified professionals and their in-depth understanding of the unique needs of the markets they serve. For more information visit </w:t>
      </w:r>
      <w:hyperlink r:id="rId10" w:tgtFrame="_blank" w:history="1">
        <w:r w:rsidRPr="00F14A0D">
          <w:rPr>
            <w:rStyle w:val="Hyperlink"/>
            <w:rFonts w:ascii="Calibri" w:hAnsi="Calibri" w:cs="Calibri"/>
          </w:rPr>
          <w:t>www.campusguard.com</w:t>
        </w:r>
      </w:hyperlink>
      <w:r w:rsidRPr="00F14A0D">
        <w:rPr>
          <w:rFonts w:ascii="Calibri" w:hAnsi="Calibri" w:cs="Calibri"/>
        </w:rPr>
        <w:t>.</w:t>
      </w:r>
    </w:p>
    <w:sectPr w:rsidR="00041598" w:rsidRPr="00EB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226"/>
    <w:multiLevelType w:val="multilevel"/>
    <w:tmpl w:val="A66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609E8"/>
    <w:multiLevelType w:val="multilevel"/>
    <w:tmpl w:val="706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810A1"/>
    <w:multiLevelType w:val="multilevel"/>
    <w:tmpl w:val="625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A2870"/>
    <w:multiLevelType w:val="multilevel"/>
    <w:tmpl w:val="184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8131D6"/>
    <w:multiLevelType w:val="multilevel"/>
    <w:tmpl w:val="279C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1211F6"/>
    <w:multiLevelType w:val="multilevel"/>
    <w:tmpl w:val="7DA0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2140919">
    <w:abstractNumId w:val="0"/>
  </w:num>
  <w:num w:numId="2" w16cid:durableId="697462770">
    <w:abstractNumId w:val="2"/>
  </w:num>
  <w:num w:numId="3" w16cid:durableId="174349823">
    <w:abstractNumId w:val="1"/>
  </w:num>
  <w:num w:numId="4" w16cid:durableId="148442598">
    <w:abstractNumId w:val="3"/>
  </w:num>
  <w:num w:numId="5" w16cid:durableId="1022320458">
    <w:abstractNumId w:val="5"/>
  </w:num>
  <w:num w:numId="6" w16cid:durableId="347365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0D"/>
    <w:rsid w:val="00001D51"/>
    <w:rsid w:val="00041598"/>
    <w:rsid w:val="00047D9A"/>
    <w:rsid w:val="0006395C"/>
    <w:rsid w:val="00107D3B"/>
    <w:rsid w:val="001631EE"/>
    <w:rsid w:val="001C2F39"/>
    <w:rsid w:val="001E631E"/>
    <w:rsid w:val="001F59D7"/>
    <w:rsid w:val="00211B3C"/>
    <w:rsid w:val="002200D5"/>
    <w:rsid w:val="00226C66"/>
    <w:rsid w:val="00254902"/>
    <w:rsid w:val="003D6BCE"/>
    <w:rsid w:val="00553D04"/>
    <w:rsid w:val="005B0899"/>
    <w:rsid w:val="00647742"/>
    <w:rsid w:val="006B266A"/>
    <w:rsid w:val="007343B3"/>
    <w:rsid w:val="007A6EEB"/>
    <w:rsid w:val="008E5ACB"/>
    <w:rsid w:val="00917A48"/>
    <w:rsid w:val="009F3A0A"/>
    <w:rsid w:val="00B47893"/>
    <w:rsid w:val="00C83DFE"/>
    <w:rsid w:val="00CF7AEA"/>
    <w:rsid w:val="00D054B2"/>
    <w:rsid w:val="00D11043"/>
    <w:rsid w:val="00EB1CB6"/>
    <w:rsid w:val="00F14A0D"/>
    <w:rsid w:val="00FA2EC6"/>
    <w:rsid w:val="00FF417D"/>
    <w:rsid w:val="03296A4C"/>
    <w:rsid w:val="14FE1ED1"/>
    <w:rsid w:val="15369FEF"/>
    <w:rsid w:val="159576F4"/>
    <w:rsid w:val="1A1FAFEE"/>
    <w:rsid w:val="1B347A8B"/>
    <w:rsid w:val="1BD12F79"/>
    <w:rsid w:val="1CA0ED84"/>
    <w:rsid w:val="20614DDE"/>
    <w:rsid w:val="215C1535"/>
    <w:rsid w:val="2618974F"/>
    <w:rsid w:val="26A781A8"/>
    <w:rsid w:val="30A98BFB"/>
    <w:rsid w:val="317963B1"/>
    <w:rsid w:val="35B54B43"/>
    <w:rsid w:val="375049B0"/>
    <w:rsid w:val="3912CF38"/>
    <w:rsid w:val="3AA97E77"/>
    <w:rsid w:val="3ACB33AF"/>
    <w:rsid w:val="3F8B707B"/>
    <w:rsid w:val="48C67793"/>
    <w:rsid w:val="4EE6C1B6"/>
    <w:rsid w:val="5011D65B"/>
    <w:rsid w:val="5ACE56C0"/>
    <w:rsid w:val="606BD435"/>
    <w:rsid w:val="60939D74"/>
    <w:rsid w:val="630DF614"/>
    <w:rsid w:val="66CA1BB1"/>
    <w:rsid w:val="6BC92CA0"/>
    <w:rsid w:val="6C41D214"/>
    <w:rsid w:val="6EE14A57"/>
    <w:rsid w:val="6F2E1FE8"/>
    <w:rsid w:val="70484F29"/>
    <w:rsid w:val="76CFC502"/>
    <w:rsid w:val="76D7C8F7"/>
    <w:rsid w:val="7770E275"/>
    <w:rsid w:val="7886B057"/>
    <w:rsid w:val="79D6D75F"/>
    <w:rsid w:val="7A58C042"/>
    <w:rsid w:val="7CB7D57F"/>
    <w:rsid w:val="7E76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AFDFD"/>
  <w15:chartTrackingRefBased/>
  <w15:docId w15:val="{951E3952-A2D6-D948-BAAA-C5D0C980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A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A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A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B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mpusguard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mpusguard.com/customer-compliance-portal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d5f79c-4d66-456f-97f2-17e4376e1849" xsi:nil="true"/>
    <TaxCatchAll xmlns="25340b50-8fb0-42cc-8dbe-664a1ff0442c" xsi:nil="true"/>
    <lcf76f155ced4ddcb4097134ff3c332f xmlns="a7d5f79c-4d66-456f-97f2-17e4376e18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C4C24B06CB4CA8A72C05264EAE9F" ma:contentTypeVersion="22" ma:contentTypeDescription="Create a new document." ma:contentTypeScope="" ma:versionID="9b3fa08e2051224e23b198f461ebe66f">
  <xsd:schema xmlns:xsd="http://www.w3.org/2001/XMLSchema" xmlns:xs="http://www.w3.org/2001/XMLSchema" xmlns:p="http://schemas.microsoft.com/office/2006/metadata/properties" xmlns:ns2="a7d5f79c-4d66-456f-97f2-17e4376e1849" xmlns:ns3="25340b50-8fb0-42cc-8dbe-664a1ff0442c" xmlns:ns4="dc8f6948-46fc-4a55-8964-40c1ac07ec64" targetNamespace="http://schemas.microsoft.com/office/2006/metadata/properties" ma:root="true" ma:fieldsID="fc2ac1d90e23fcc2e24d6c98a9751b5b" ns2:_="" ns3:_="" ns4:_="">
    <xsd:import namespace="a7d5f79c-4d66-456f-97f2-17e4376e1849"/>
    <xsd:import namespace="25340b50-8fb0-42cc-8dbe-664a1ff0442c"/>
    <xsd:import namespace="dc8f6948-46fc-4a55-8964-40c1ac07e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9c-4d66-456f-97f2-17e4376e1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60dcc3-c97e-436a-a0de-adda31d8f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0b50-8fb0-42cc-8dbe-664a1ff0442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654828-cb05-4d64-85a4-b969128c437a}" ma:internalName="TaxCatchAll" ma:showField="CatchAllData" ma:web="dc8f6948-46fc-4a55-8964-40c1ac07e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6948-46fc-4a55-8964-40c1ac07ec6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64CB6-2A63-4D24-B2DB-8B64D2504A2D}">
  <ds:schemaRefs>
    <ds:schemaRef ds:uri="http://schemas.microsoft.com/office/2006/metadata/properties"/>
    <ds:schemaRef ds:uri="http://schemas.microsoft.com/office/infopath/2007/PartnerControls"/>
    <ds:schemaRef ds:uri="a7d5f79c-4d66-456f-97f2-17e4376e1849"/>
    <ds:schemaRef ds:uri="25340b50-8fb0-42cc-8dbe-664a1ff0442c"/>
  </ds:schemaRefs>
</ds:datastoreItem>
</file>

<file path=customXml/itemProps2.xml><?xml version="1.0" encoding="utf-8"?>
<ds:datastoreItem xmlns:ds="http://schemas.openxmlformats.org/officeDocument/2006/customXml" ds:itemID="{0954005A-F9C9-410B-98CC-0D55C18E0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92E67-34BA-48BE-9166-B6A1A980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5f79c-4d66-456f-97f2-17e4376e1849"/>
    <ds:schemaRef ds:uri="25340b50-8fb0-42cc-8dbe-664a1ff0442c"/>
    <ds:schemaRef ds:uri="dc8f6948-46fc-4a55-8964-40c1ac07e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Kathy</dc:creator>
  <cp:keywords/>
  <dc:description/>
  <cp:lastModifiedBy>Staples, Kathy</cp:lastModifiedBy>
  <cp:revision>2</cp:revision>
  <dcterms:created xsi:type="dcterms:W3CDTF">2025-02-13T20:14:00Z</dcterms:created>
  <dcterms:modified xsi:type="dcterms:W3CDTF">2025-02-13T20:14:00Z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7fddc5-d245-42f6-a13f-f969110a1251_Enabled">
    <vt:lpwstr>true</vt:lpwstr>
  </property>
  <property fmtid="{D5CDD505-2E9C-101B-9397-08002B2CF9AE}" pid="3" name="MSIP_Label_ed7fddc5-d245-42f6-a13f-f969110a1251_SetDate">
    <vt:lpwstr>2024-11-05T18:23:38Z</vt:lpwstr>
  </property>
  <property fmtid="{D5CDD505-2E9C-101B-9397-08002B2CF9AE}" pid="4" name="MSIP_Label_ed7fddc5-d245-42f6-a13f-f969110a1251_Method">
    <vt:lpwstr>Standard</vt:lpwstr>
  </property>
  <property fmtid="{D5CDD505-2E9C-101B-9397-08002B2CF9AE}" pid="5" name="MSIP_Label_ed7fddc5-d245-42f6-a13f-f969110a1251_Name">
    <vt:lpwstr>Business Confidential Information</vt:lpwstr>
  </property>
  <property fmtid="{D5CDD505-2E9C-101B-9397-08002B2CF9AE}" pid="6" name="MSIP_Label_ed7fddc5-d245-42f6-a13f-f969110a1251_SiteId">
    <vt:lpwstr>5a5b9e61-20b2-4578-8f37-246881fa0d61</vt:lpwstr>
  </property>
  <property fmtid="{D5CDD505-2E9C-101B-9397-08002B2CF9AE}" pid="7" name="MSIP_Label_ed7fddc5-d245-42f6-a13f-f969110a1251_ActionId">
    <vt:lpwstr>e2c1a5ca-9b37-4ee9-b39d-721f7628576e</vt:lpwstr>
  </property>
  <property fmtid="{D5CDD505-2E9C-101B-9397-08002B2CF9AE}" pid="8" name="MSIP_Label_ed7fddc5-d245-42f6-a13f-f969110a1251_ContentBits">
    <vt:lpwstr>0</vt:lpwstr>
  </property>
  <property fmtid="{D5CDD505-2E9C-101B-9397-08002B2CF9AE}" pid="9" name="ContentTypeId">
    <vt:lpwstr>0x010100AB65C4C24B06CB4CA8A72C05264EAE9F</vt:lpwstr>
  </property>
  <property fmtid="{D5CDD505-2E9C-101B-9397-08002B2CF9AE}" pid="10" name="MediaServiceImageTags">
    <vt:lpwstr/>
  </property>
</Properties>
</file>